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2A56" w14:textId="69EDF9A2" w:rsidR="003B5927" w:rsidRPr="00857D17" w:rsidRDefault="003B5927" w:rsidP="003B5927">
      <w:pPr>
        <w:pStyle w:val="a3"/>
        <w:rPr>
          <w:sz w:val="24"/>
          <w:szCs w:val="24"/>
          <w:lang w:val="az-Latn-AZ"/>
        </w:rPr>
      </w:pPr>
      <w:bookmarkStart w:id="0" w:name="_GoBack"/>
      <w:bookmarkEnd w:id="0"/>
      <w:r w:rsidRPr="00857D17">
        <w:rPr>
          <w:sz w:val="24"/>
          <w:szCs w:val="24"/>
          <w:lang w:val="az-Latn-AZ"/>
        </w:rPr>
        <w:t xml:space="preserve">                                                                        </w:t>
      </w:r>
      <w:r w:rsidR="000F5B2F">
        <w:rPr>
          <w:sz w:val="24"/>
          <w:szCs w:val="24"/>
          <w:lang w:val="az-Latn-AZ"/>
        </w:rPr>
        <w:t xml:space="preserve">                         </w:t>
      </w:r>
      <w:bookmarkStart w:id="1" w:name="_Hlk97025637"/>
      <w:r w:rsidRPr="00857D17">
        <w:rPr>
          <w:sz w:val="24"/>
          <w:szCs w:val="24"/>
          <w:lang w:val="az-Latn-AZ"/>
        </w:rPr>
        <w:t xml:space="preserve">TƏSDİQ EDİLMİŞDİR </w:t>
      </w:r>
    </w:p>
    <w:p w14:paraId="0453CE3B" w14:textId="54555D6D" w:rsidR="003B5927" w:rsidRPr="00857D17" w:rsidRDefault="003B5927" w:rsidP="003B5927">
      <w:pPr>
        <w:pStyle w:val="a3"/>
        <w:rPr>
          <w:sz w:val="24"/>
          <w:szCs w:val="24"/>
          <w:lang w:val="az-Latn-AZ"/>
        </w:rPr>
      </w:pPr>
      <w:r w:rsidRPr="00857D17">
        <w:rPr>
          <w:sz w:val="24"/>
          <w:szCs w:val="24"/>
          <w:lang w:val="az-Latn-AZ"/>
        </w:rPr>
        <w:t xml:space="preserve">                                                                        </w:t>
      </w:r>
      <w:r w:rsidR="000F5B2F">
        <w:rPr>
          <w:sz w:val="24"/>
          <w:szCs w:val="24"/>
          <w:lang w:val="az-Latn-AZ"/>
        </w:rPr>
        <w:t xml:space="preserve">                         </w:t>
      </w:r>
      <w:r w:rsidRPr="00857D17">
        <w:rPr>
          <w:sz w:val="24"/>
          <w:szCs w:val="24"/>
          <w:lang w:val="az-Latn-AZ"/>
        </w:rPr>
        <w:t>Azərbaycan Respublikası</w:t>
      </w:r>
    </w:p>
    <w:p w14:paraId="1E1B6EA0" w14:textId="604F113E" w:rsidR="003B5927" w:rsidRPr="00857D17" w:rsidRDefault="003B5927" w:rsidP="003B5927">
      <w:pPr>
        <w:pStyle w:val="a3"/>
        <w:rPr>
          <w:sz w:val="24"/>
          <w:szCs w:val="24"/>
          <w:lang w:val="az-Latn-AZ"/>
        </w:rPr>
      </w:pPr>
      <w:r w:rsidRPr="00857D17">
        <w:rPr>
          <w:sz w:val="24"/>
          <w:szCs w:val="24"/>
          <w:lang w:val="az-Latn-AZ"/>
        </w:rPr>
        <w:t xml:space="preserve">                                                                        </w:t>
      </w:r>
      <w:r w:rsidR="000F5B2F">
        <w:rPr>
          <w:sz w:val="24"/>
          <w:szCs w:val="24"/>
          <w:lang w:val="az-Latn-AZ"/>
        </w:rPr>
        <w:t xml:space="preserve">                         </w:t>
      </w:r>
      <w:r w:rsidRPr="00857D17">
        <w:rPr>
          <w:sz w:val="24"/>
          <w:szCs w:val="24"/>
          <w:lang w:val="az-Latn-AZ"/>
        </w:rPr>
        <w:t>Səhiyyə Nazirliyi</w:t>
      </w:r>
    </w:p>
    <w:p w14:paraId="1D6FBBA5" w14:textId="1EF60CA0" w:rsidR="003B5927" w:rsidRPr="00857D17" w:rsidRDefault="003B5927" w:rsidP="003B5927">
      <w:pPr>
        <w:pStyle w:val="a3"/>
        <w:rPr>
          <w:sz w:val="24"/>
          <w:szCs w:val="24"/>
          <w:lang w:val="az-Latn-AZ"/>
        </w:rPr>
      </w:pPr>
      <w:r w:rsidRPr="00857D17">
        <w:rPr>
          <w:sz w:val="24"/>
          <w:szCs w:val="24"/>
          <w:lang w:val="az-Latn-AZ"/>
        </w:rPr>
        <w:t xml:space="preserve">                                                                        </w:t>
      </w:r>
      <w:r w:rsidR="000F5B2F">
        <w:rPr>
          <w:sz w:val="24"/>
          <w:szCs w:val="24"/>
          <w:lang w:val="az-Latn-AZ"/>
        </w:rPr>
        <w:t xml:space="preserve">                         </w:t>
      </w:r>
      <w:r w:rsidRPr="00857D17">
        <w:rPr>
          <w:sz w:val="24"/>
          <w:szCs w:val="24"/>
          <w:lang w:val="az-Latn-AZ"/>
        </w:rPr>
        <w:t>Farmakoloji və Farmakopeya</w:t>
      </w:r>
    </w:p>
    <w:p w14:paraId="627E7721" w14:textId="045DD661" w:rsidR="003B5927" w:rsidRPr="00857D17" w:rsidRDefault="003B5927" w:rsidP="003B5927">
      <w:pPr>
        <w:pStyle w:val="a3"/>
        <w:rPr>
          <w:sz w:val="24"/>
          <w:szCs w:val="24"/>
          <w:lang w:val="az-Latn-AZ"/>
        </w:rPr>
      </w:pPr>
      <w:r w:rsidRPr="00857D17">
        <w:rPr>
          <w:sz w:val="24"/>
          <w:szCs w:val="24"/>
          <w:lang w:val="az-Latn-AZ"/>
        </w:rPr>
        <w:t xml:space="preserve">                                                                        </w:t>
      </w:r>
      <w:r w:rsidR="000F5B2F">
        <w:rPr>
          <w:sz w:val="24"/>
          <w:szCs w:val="24"/>
          <w:lang w:val="az-Latn-AZ"/>
        </w:rPr>
        <w:t xml:space="preserve">                         </w:t>
      </w:r>
      <w:r w:rsidRPr="00857D17">
        <w:rPr>
          <w:sz w:val="24"/>
          <w:szCs w:val="24"/>
          <w:lang w:val="az-Latn-AZ"/>
        </w:rPr>
        <w:t>Ekspert Şurasının sədri</w:t>
      </w:r>
    </w:p>
    <w:p w14:paraId="28AD0871" w14:textId="77777777" w:rsidR="003B5927" w:rsidRPr="00857D17" w:rsidRDefault="003B5927" w:rsidP="003B5927">
      <w:pPr>
        <w:pStyle w:val="a3"/>
        <w:rPr>
          <w:sz w:val="24"/>
          <w:szCs w:val="24"/>
          <w:lang w:val="az-Latn-AZ"/>
        </w:rPr>
      </w:pPr>
    </w:p>
    <w:p w14:paraId="112991F3" w14:textId="60F078F9" w:rsidR="003B5927" w:rsidRPr="00857D17" w:rsidRDefault="003B5927" w:rsidP="003B5927">
      <w:pPr>
        <w:pStyle w:val="a3"/>
        <w:rPr>
          <w:sz w:val="24"/>
          <w:szCs w:val="24"/>
          <w:lang w:val="az-Latn-AZ"/>
        </w:rPr>
      </w:pPr>
      <w:r w:rsidRPr="00857D17">
        <w:rPr>
          <w:sz w:val="24"/>
          <w:szCs w:val="24"/>
          <w:lang w:val="az-Latn-AZ"/>
        </w:rPr>
        <w:t xml:space="preserve">                                                                        </w:t>
      </w:r>
      <w:r w:rsidR="000F5B2F">
        <w:rPr>
          <w:sz w:val="24"/>
          <w:szCs w:val="24"/>
          <w:lang w:val="az-Latn-AZ"/>
        </w:rPr>
        <w:t xml:space="preserve">                         </w:t>
      </w:r>
      <w:r w:rsidRPr="00857D17">
        <w:rPr>
          <w:sz w:val="24"/>
          <w:szCs w:val="24"/>
          <w:lang w:val="az-Latn-AZ"/>
        </w:rPr>
        <w:t>_____________  E.M.Ağayev</w:t>
      </w:r>
    </w:p>
    <w:p w14:paraId="02D0C1EA" w14:textId="77777777" w:rsidR="003B5927" w:rsidRPr="00857D17" w:rsidRDefault="003B5927" w:rsidP="003B5927">
      <w:pPr>
        <w:pStyle w:val="a3"/>
        <w:rPr>
          <w:sz w:val="24"/>
          <w:szCs w:val="24"/>
          <w:lang w:val="az-Latn-AZ"/>
        </w:rPr>
      </w:pPr>
      <w:r w:rsidRPr="00857D17">
        <w:rPr>
          <w:sz w:val="24"/>
          <w:szCs w:val="24"/>
          <w:lang w:val="az-Latn-AZ"/>
        </w:rPr>
        <w:t xml:space="preserve">                                                                                            </w:t>
      </w:r>
    </w:p>
    <w:p w14:paraId="1DABEF0C" w14:textId="02B8436B" w:rsidR="003B5927" w:rsidRPr="00857D17" w:rsidRDefault="003B5927" w:rsidP="003B5927">
      <w:pPr>
        <w:pStyle w:val="a3"/>
        <w:rPr>
          <w:sz w:val="24"/>
          <w:szCs w:val="24"/>
          <w:lang w:val="az-Latn-AZ"/>
        </w:rPr>
      </w:pPr>
      <w:r w:rsidRPr="00857D17">
        <w:rPr>
          <w:sz w:val="24"/>
          <w:szCs w:val="24"/>
          <w:lang w:val="az-Latn-AZ"/>
        </w:rPr>
        <w:t xml:space="preserve">                                                                                            </w:t>
      </w:r>
      <w:r w:rsidR="000F5B2F">
        <w:rPr>
          <w:sz w:val="24"/>
          <w:szCs w:val="24"/>
          <w:lang w:val="az-Latn-AZ"/>
        </w:rPr>
        <w:t xml:space="preserve">     </w:t>
      </w:r>
      <w:r w:rsidR="000253BF">
        <w:rPr>
          <w:sz w:val="24"/>
          <w:szCs w:val="24"/>
          <w:lang w:val="az-Latn-AZ"/>
        </w:rPr>
        <w:t>“15”  iyul</w:t>
      </w:r>
      <w:r w:rsidR="00963795">
        <w:rPr>
          <w:sz w:val="24"/>
          <w:szCs w:val="24"/>
          <w:lang w:val="az-Latn-AZ"/>
        </w:rPr>
        <w:t xml:space="preserve">  </w:t>
      </w:r>
      <w:r w:rsidR="006E6044">
        <w:rPr>
          <w:sz w:val="24"/>
          <w:szCs w:val="24"/>
          <w:lang w:val="az-Latn-AZ"/>
        </w:rPr>
        <w:t>202</w:t>
      </w:r>
      <w:r w:rsidR="00FF7F07">
        <w:rPr>
          <w:sz w:val="24"/>
          <w:szCs w:val="24"/>
          <w:lang w:val="az-Latn-AZ"/>
        </w:rPr>
        <w:t>4</w:t>
      </w:r>
      <w:r w:rsidR="00E20BAC">
        <w:rPr>
          <w:sz w:val="24"/>
          <w:szCs w:val="24"/>
          <w:lang w:val="az-Latn-AZ"/>
        </w:rPr>
        <w:t>-c</w:t>
      </w:r>
      <w:r w:rsidR="00A70D79">
        <w:rPr>
          <w:sz w:val="24"/>
          <w:szCs w:val="24"/>
          <w:lang w:val="az-Latn-AZ"/>
        </w:rPr>
        <w:t>ü</w:t>
      </w:r>
      <w:r w:rsidRPr="00857D17">
        <w:rPr>
          <w:sz w:val="24"/>
          <w:szCs w:val="24"/>
          <w:lang w:val="az-Latn-AZ"/>
        </w:rPr>
        <w:t xml:space="preserve"> il</w:t>
      </w:r>
    </w:p>
    <w:p w14:paraId="67FE6C50" w14:textId="77777777" w:rsidR="003B5927" w:rsidRPr="00857D17" w:rsidRDefault="003B5927" w:rsidP="003B5927">
      <w:pPr>
        <w:pStyle w:val="a3"/>
        <w:rPr>
          <w:sz w:val="24"/>
          <w:szCs w:val="24"/>
          <w:lang w:val="az-Latn-AZ"/>
        </w:rPr>
      </w:pPr>
    </w:p>
    <w:p w14:paraId="268E1873" w14:textId="77777777" w:rsidR="003B5927" w:rsidRPr="00857D17" w:rsidRDefault="003B5927" w:rsidP="003B5927">
      <w:pPr>
        <w:pStyle w:val="a3"/>
        <w:rPr>
          <w:sz w:val="24"/>
          <w:szCs w:val="24"/>
          <w:lang w:val="az-Latn-AZ"/>
        </w:rPr>
      </w:pPr>
    </w:p>
    <w:p w14:paraId="344CB005" w14:textId="77777777" w:rsidR="003B5927" w:rsidRPr="00857D17" w:rsidRDefault="003B5927" w:rsidP="003B5927">
      <w:pPr>
        <w:pStyle w:val="a3"/>
        <w:rPr>
          <w:sz w:val="24"/>
          <w:szCs w:val="24"/>
          <w:lang w:val="az-Latn-AZ"/>
        </w:rPr>
      </w:pPr>
      <w:r w:rsidRPr="00857D17">
        <w:rPr>
          <w:sz w:val="24"/>
          <w:szCs w:val="24"/>
          <w:lang w:val="az-Latn-AZ"/>
        </w:rPr>
        <w:t xml:space="preserve">                             Dərman vasitəsinin istifadəsi üzrə təlimat (xəstələr üçün)</w:t>
      </w:r>
    </w:p>
    <w:bookmarkEnd w:id="1"/>
    <w:p w14:paraId="7D098B27" w14:textId="466957E3" w:rsidR="003B5927" w:rsidRPr="00857D17" w:rsidRDefault="00F2152F" w:rsidP="003B5927">
      <w:pPr>
        <w:rPr>
          <w:lang w:val="az-Latn-AZ"/>
        </w:rPr>
      </w:pPr>
      <w:r>
        <w:rPr>
          <w:lang w:val="az-Latn-AZ"/>
        </w:rPr>
        <w:t xml:space="preserve"> </w:t>
      </w:r>
    </w:p>
    <w:p w14:paraId="722C411D" w14:textId="77777777" w:rsidR="003B5927" w:rsidRDefault="003B5927" w:rsidP="003B5927">
      <w:pPr>
        <w:rPr>
          <w:b/>
          <w:lang w:val="az-Latn-AZ"/>
        </w:rPr>
      </w:pPr>
    </w:p>
    <w:p w14:paraId="067371A9" w14:textId="2269B97D" w:rsidR="00B049B3" w:rsidRPr="00857D17" w:rsidRDefault="00977943" w:rsidP="00B049B3">
      <w:pPr>
        <w:rPr>
          <w:lang w:val="az-Latn-AZ"/>
        </w:rPr>
      </w:pPr>
      <w:r>
        <w:rPr>
          <w:b/>
          <w:lang w:val="az-Latn-AZ"/>
        </w:rPr>
        <w:t>FURASİLİN-TERNOFARM</w:t>
      </w:r>
      <w:r w:rsidR="00B049B3" w:rsidRPr="00857D17">
        <w:rPr>
          <w:lang w:val="az-Latn-AZ"/>
        </w:rPr>
        <w:t xml:space="preserve">   </w:t>
      </w:r>
      <w:r w:rsidR="00B049B3">
        <w:rPr>
          <w:lang w:val="az-Latn-AZ"/>
        </w:rPr>
        <w:t xml:space="preserve"> </w:t>
      </w:r>
      <w:r>
        <w:rPr>
          <w:lang w:val="az-Latn-AZ"/>
        </w:rPr>
        <w:t xml:space="preserve">20 mq xaricə istifadə </w:t>
      </w:r>
      <w:r w:rsidR="00742C91">
        <w:rPr>
          <w:lang w:val="az-Latn-AZ"/>
        </w:rPr>
        <w:t>olunan</w:t>
      </w:r>
      <w:r>
        <w:rPr>
          <w:lang w:val="az-Latn-AZ"/>
        </w:rPr>
        <w:t xml:space="preserve"> məhlul hazırlamaq üçün toz </w:t>
      </w:r>
    </w:p>
    <w:p w14:paraId="15DC1F1D" w14:textId="0C2E1591" w:rsidR="00B049B3" w:rsidRPr="00857D17" w:rsidRDefault="00977943" w:rsidP="00B049B3">
      <w:pPr>
        <w:rPr>
          <w:lang w:val="az-Latn-AZ"/>
        </w:rPr>
      </w:pPr>
      <w:r>
        <w:rPr>
          <w:lang w:val="az-Latn-AZ"/>
        </w:rPr>
        <w:t>FURACILIN-TERNO</w:t>
      </w:r>
      <w:r w:rsidR="00EE31BF">
        <w:rPr>
          <w:lang w:val="az-Latn-AZ"/>
        </w:rPr>
        <w:t>PH</w:t>
      </w:r>
      <w:r>
        <w:rPr>
          <w:lang w:val="az-Latn-AZ"/>
        </w:rPr>
        <w:t>ARM</w:t>
      </w:r>
    </w:p>
    <w:p w14:paraId="38A25049" w14:textId="77777777" w:rsidR="00B049B3" w:rsidRPr="00857D17" w:rsidRDefault="00B049B3" w:rsidP="00B049B3">
      <w:pPr>
        <w:rPr>
          <w:lang w:val="az-Latn-AZ"/>
        </w:rPr>
      </w:pPr>
    </w:p>
    <w:p w14:paraId="45EED590" w14:textId="66046BF0" w:rsidR="00B049B3" w:rsidRPr="00744F71" w:rsidRDefault="00B049B3" w:rsidP="00B049B3">
      <w:pPr>
        <w:rPr>
          <w:b/>
          <w:lang w:val="en-US"/>
        </w:rPr>
      </w:pPr>
      <w:r w:rsidRPr="00857D17">
        <w:rPr>
          <w:b/>
          <w:lang w:val="az-Latn-AZ"/>
        </w:rPr>
        <w:t xml:space="preserve">Beynəlxalq patentləşdirilməmiş adı: </w:t>
      </w:r>
      <w:r w:rsidR="00977943" w:rsidRPr="00977943">
        <w:rPr>
          <w:bCs/>
          <w:lang w:val="az-Latn-AZ"/>
        </w:rPr>
        <w:t>Nitrofural</w:t>
      </w:r>
    </w:p>
    <w:p w14:paraId="7683D55E" w14:textId="77777777" w:rsidR="00B049B3" w:rsidRPr="00857D17" w:rsidRDefault="00B049B3" w:rsidP="00B049B3">
      <w:pPr>
        <w:rPr>
          <w:lang w:val="az-Latn-AZ"/>
        </w:rPr>
      </w:pPr>
    </w:p>
    <w:p w14:paraId="3A9D721B" w14:textId="77777777" w:rsidR="00B049B3" w:rsidRPr="00857D17" w:rsidRDefault="00B049B3" w:rsidP="00B049B3">
      <w:pPr>
        <w:rPr>
          <w:b/>
          <w:lang w:val="az-Latn-AZ"/>
        </w:rPr>
      </w:pPr>
      <w:r w:rsidRPr="00857D17">
        <w:rPr>
          <w:b/>
          <w:lang w:val="az-Latn-AZ"/>
        </w:rPr>
        <w:t>Tərkibi</w:t>
      </w:r>
    </w:p>
    <w:p w14:paraId="452F527F" w14:textId="589CA955" w:rsidR="00B049B3" w:rsidRPr="00857D17" w:rsidRDefault="00B049B3" w:rsidP="00B049B3">
      <w:pPr>
        <w:rPr>
          <w:lang w:val="az-Latn-AZ"/>
        </w:rPr>
      </w:pPr>
      <w:r w:rsidRPr="00857D17">
        <w:rPr>
          <w:i/>
          <w:lang w:val="az-Latn-AZ"/>
        </w:rPr>
        <w:t>Təsiredici maddə:</w:t>
      </w:r>
      <w:r w:rsidRPr="00857D17">
        <w:rPr>
          <w:lang w:val="az-Latn-AZ"/>
        </w:rPr>
        <w:t xml:space="preserve"> </w:t>
      </w:r>
      <w:r w:rsidR="00977943">
        <w:rPr>
          <w:lang w:val="az-Latn-AZ"/>
        </w:rPr>
        <w:t xml:space="preserve"> 1 saşedə (0,94 q toz) 20 mq nitrofural (nitrofurazon) vardır.</w:t>
      </w:r>
    </w:p>
    <w:p w14:paraId="437CA010" w14:textId="129E2922" w:rsidR="00B049B3" w:rsidRPr="00857D17" w:rsidRDefault="00B049B3" w:rsidP="00B049B3">
      <w:pPr>
        <w:rPr>
          <w:lang w:val="az-Latn-AZ"/>
        </w:rPr>
      </w:pPr>
      <w:r w:rsidRPr="00857D17">
        <w:rPr>
          <w:i/>
          <w:lang w:val="az-Latn-AZ"/>
        </w:rPr>
        <w:t>Köməkçi maddələr:</w:t>
      </w:r>
      <w:r w:rsidR="00977943">
        <w:rPr>
          <w:lang w:val="az-Latn-AZ"/>
        </w:rPr>
        <w:t>natrium xlorid, povidon.</w:t>
      </w:r>
    </w:p>
    <w:p w14:paraId="1F155C0F" w14:textId="77777777" w:rsidR="00B049B3" w:rsidRPr="00857D17" w:rsidRDefault="00B049B3" w:rsidP="00B049B3">
      <w:pPr>
        <w:rPr>
          <w:b/>
          <w:lang w:val="az-Latn-AZ"/>
        </w:rPr>
      </w:pPr>
    </w:p>
    <w:p w14:paraId="1179618D" w14:textId="432968D1" w:rsidR="00B049B3" w:rsidRPr="00857D17" w:rsidRDefault="00B049B3" w:rsidP="00B049B3">
      <w:pPr>
        <w:rPr>
          <w:b/>
          <w:lang w:val="az-Latn-AZ"/>
        </w:rPr>
      </w:pPr>
      <w:r w:rsidRPr="00857D17">
        <w:rPr>
          <w:b/>
          <w:lang w:val="az-Latn-AZ"/>
        </w:rPr>
        <w:t>Təsviri</w:t>
      </w:r>
    </w:p>
    <w:p w14:paraId="78A0173D" w14:textId="7B870A29" w:rsidR="00B049B3" w:rsidRPr="00977943" w:rsidRDefault="00977943" w:rsidP="00B049B3">
      <w:pPr>
        <w:rPr>
          <w:bCs/>
          <w:lang w:val="az-Latn-AZ"/>
        </w:rPr>
      </w:pPr>
      <w:r w:rsidRPr="00977943">
        <w:rPr>
          <w:bCs/>
          <w:lang w:val="az-Latn-AZ"/>
        </w:rPr>
        <w:t>Sarı rəngli tozdur.</w:t>
      </w:r>
      <w:r>
        <w:rPr>
          <w:bCs/>
          <w:lang w:val="az-Latn-AZ"/>
        </w:rPr>
        <w:t xml:space="preserve"> Asan dağılan aqlomeratların olması mümkündür.</w:t>
      </w:r>
    </w:p>
    <w:p w14:paraId="2F190C4A" w14:textId="77777777" w:rsidR="00977943" w:rsidRPr="00857D17" w:rsidRDefault="00977943" w:rsidP="00B049B3">
      <w:pPr>
        <w:rPr>
          <w:b/>
          <w:lang w:val="az-Latn-AZ"/>
        </w:rPr>
      </w:pPr>
    </w:p>
    <w:p w14:paraId="30A88821" w14:textId="77777777" w:rsidR="00B049B3" w:rsidRDefault="00B049B3" w:rsidP="00B049B3">
      <w:pPr>
        <w:rPr>
          <w:b/>
          <w:lang w:val="az-Latn-AZ"/>
        </w:rPr>
      </w:pPr>
      <w:r>
        <w:rPr>
          <w:b/>
          <w:lang w:val="az-Latn-AZ"/>
        </w:rPr>
        <w:t>Farmakoterapevtik qrupu</w:t>
      </w:r>
    </w:p>
    <w:p w14:paraId="4C7B3553" w14:textId="408602D0" w:rsidR="00B049B3" w:rsidRPr="00E05676" w:rsidRDefault="00E05676" w:rsidP="00B049B3">
      <w:pPr>
        <w:rPr>
          <w:bCs/>
          <w:lang w:val="az-Latn-AZ"/>
        </w:rPr>
      </w:pPr>
      <w:r w:rsidRPr="00E05676">
        <w:rPr>
          <w:bCs/>
          <w:lang w:val="az-Latn-AZ"/>
        </w:rPr>
        <w:t>Antis</w:t>
      </w:r>
      <w:r>
        <w:rPr>
          <w:bCs/>
          <w:lang w:val="az-Latn-AZ"/>
        </w:rPr>
        <w:t>e</w:t>
      </w:r>
      <w:r w:rsidRPr="00E05676">
        <w:rPr>
          <w:bCs/>
          <w:lang w:val="az-Latn-AZ"/>
        </w:rPr>
        <w:t>ptik və dezinfeksiyaedici vasitələr.</w:t>
      </w:r>
    </w:p>
    <w:p w14:paraId="2DB99B1A" w14:textId="1289837D" w:rsidR="00B049B3" w:rsidRPr="00857D17" w:rsidRDefault="00B049B3" w:rsidP="00B049B3">
      <w:pPr>
        <w:rPr>
          <w:b/>
          <w:lang w:val="az-Latn-AZ"/>
        </w:rPr>
      </w:pPr>
      <w:r w:rsidRPr="00857D17">
        <w:rPr>
          <w:b/>
          <w:lang w:val="az-Latn-AZ"/>
        </w:rPr>
        <w:t>ATC kodu:</w:t>
      </w:r>
      <w:r w:rsidR="00E05676">
        <w:rPr>
          <w:b/>
          <w:lang w:val="az-Latn-AZ"/>
        </w:rPr>
        <w:t xml:space="preserve"> </w:t>
      </w:r>
      <w:r w:rsidR="00E05676" w:rsidRPr="00E05676">
        <w:rPr>
          <w:bCs/>
          <w:lang w:val="az-Latn-AZ"/>
        </w:rPr>
        <w:t>D08AF01.</w:t>
      </w:r>
    </w:p>
    <w:p w14:paraId="44800824" w14:textId="77777777" w:rsidR="00B049B3" w:rsidRPr="00857D17" w:rsidRDefault="00B049B3" w:rsidP="00B049B3">
      <w:pPr>
        <w:rPr>
          <w:lang w:val="az-Latn-AZ"/>
        </w:rPr>
      </w:pPr>
      <w:r w:rsidRPr="00857D17">
        <w:rPr>
          <w:b/>
          <w:lang w:val="az-Latn-AZ"/>
        </w:rPr>
        <w:t xml:space="preserve"> </w:t>
      </w:r>
    </w:p>
    <w:p w14:paraId="7EC522CB" w14:textId="0E114E1A" w:rsidR="00B049B3" w:rsidRPr="00857D17" w:rsidRDefault="00B049B3" w:rsidP="00B049B3">
      <w:pPr>
        <w:rPr>
          <w:b/>
          <w:lang w:val="az-Latn-AZ"/>
        </w:rPr>
      </w:pPr>
      <w:r w:rsidRPr="00857D17">
        <w:rPr>
          <w:b/>
          <w:lang w:val="az-Latn-AZ"/>
        </w:rPr>
        <w:t>Farmakoloji xüsusiyyətləri</w:t>
      </w:r>
    </w:p>
    <w:p w14:paraId="6BD4BE27" w14:textId="77777777" w:rsidR="00B049B3" w:rsidRPr="00222A54" w:rsidRDefault="00B049B3" w:rsidP="00B049B3">
      <w:pPr>
        <w:jc w:val="both"/>
        <w:rPr>
          <w:b/>
          <w:lang w:val="az-Latn-AZ"/>
        </w:rPr>
      </w:pPr>
      <w:r w:rsidRPr="00222A54">
        <w:rPr>
          <w:b/>
          <w:i/>
          <w:lang w:val="az-Latn-AZ"/>
        </w:rPr>
        <w:t>Farmakodinamikası</w:t>
      </w:r>
      <w:r w:rsidRPr="00222A54">
        <w:rPr>
          <w:b/>
          <w:lang w:val="az-Latn-AZ"/>
        </w:rPr>
        <w:t xml:space="preserve"> </w:t>
      </w:r>
    </w:p>
    <w:p w14:paraId="1B7DCD97" w14:textId="474BE46E" w:rsidR="00E05676" w:rsidRPr="00DC09AB" w:rsidRDefault="00E05676" w:rsidP="00B049B3">
      <w:pPr>
        <w:jc w:val="both"/>
        <w:rPr>
          <w:bCs/>
          <w:lang w:val="az-Latn-AZ"/>
        </w:rPr>
      </w:pPr>
      <w:r w:rsidRPr="00E05676">
        <w:rPr>
          <w:bCs/>
          <w:lang w:val="az-Latn-AZ"/>
        </w:rPr>
        <w:t>Nitrofural antibakterial vasitələrə aiddir. Bu, güclü antiseptik olub, stafilokoklara, streptokoklara, dizenteriya və bağırsaq çöplərinə, salmonellalara, qazlı qanqrena törədicilərinə qarşı aktivdir.</w:t>
      </w:r>
      <w:r>
        <w:rPr>
          <w:bCs/>
          <w:lang w:val="az-Latn-AZ"/>
        </w:rPr>
        <w:t xml:space="preserve"> Yaranın qranulyasiyası və sağalması prosesinə səbəb olur.</w:t>
      </w:r>
      <w:r w:rsidR="00DC09AB">
        <w:rPr>
          <w:bCs/>
          <w:lang w:val="az-Latn-AZ"/>
        </w:rPr>
        <w:t xml:space="preserve"> Dərman vasitəsinin təsir mexanizmi onun nitro qrupun amin qrupuna bərpa etmək, DNT-nin funksiyasını pozmaq, mikroorqanizmlərin hüceyrə tənəffüsünü tormozlamaq qabiliyyətilə əlaqədardır.</w:t>
      </w:r>
    </w:p>
    <w:p w14:paraId="38BD3AFC" w14:textId="77777777" w:rsidR="00B049B3" w:rsidRPr="00222A54" w:rsidRDefault="00B049B3" w:rsidP="00B049B3">
      <w:pPr>
        <w:jc w:val="both"/>
        <w:rPr>
          <w:b/>
          <w:lang w:val="az-Latn-AZ"/>
        </w:rPr>
      </w:pPr>
      <w:r w:rsidRPr="00222A54">
        <w:rPr>
          <w:b/>
          <w:i/>
          <w:lang w:val="az-Latn-AZ"/>
        </w:rPr>
        <w:t>Farmakokinetikası</w:t>
      </w:r>
    </w:p>
    <w:p w14:paraId="4E8CA605" w14:textId="36C8F25E" w:rsidR="00B049B3" w:rsidRDefault="00E05676" w:rsidP="00B049B3">
      <w:pPr>
        <w:rPr>
          <w:lang w:val="az-Latn-AZ"/>
        </w:rPr>
      </w:pPr>
      <w:r>
        <w:rPr>
          <w:lang w:val="az-Latn-AZ"/>
        </w:rPr>
        <w:t>Öyrənilməmişdir.</w:t>
      </w:r>
    </w:p>
    <w:p w14:paraId="2CC62E8B" w14:textId="77777777" w:rsidR="00E05676" w:rsidRPr="00E05676" w:rsidRDefault="00E05676" w:rsidP="00B049B3">
      <w:pPr>
        <w:rPr>
          <w:i/>
          <w:iCs/>
          <w:lang w:val="az-Latn-AZ"/>
        </w:rPr>
      </w:pPr>
      <w:r w:rsidRPr="00E05676">
        <w:rPr>
          <w:i/>
          <w:iCs/>
          <w:lang w:val="az-Latn-AZ"/>
        </w:rPr>
        <w:t>Təhlükəsizliyi üzrə klinikaya qədər məlumatlar</w:t>
      </w:r>
    </w:p>
    <w:p w14:paraId="04C9EACE" w14:textId="6BA3914E" w:rsidR="00B049B3" w:rsidRDefault="00E05676" w:rsidP="00B049B3">
      <w:pPr>
        <w:rPr>
          <w:lang w:val="az-Latn-AZ"/>
        </w:rPr>
      </w:pPr>
      <w:r>
        <w:rPr>
          <w:lang w:val="az-Latn-AZ"/>
        </w:rPr>
        <w:t>Məlumat yoxdur.</w:t>
      </w:r>
    </w:p>
    <w:p w14:paraId="7D0A4DA6" w14:textId="77777777" w:rsidR="00E05676" w:rsidRPr="00E05676" w:rsidRDefault="00E05676" w:rsidP="00B049B3">
      <w:pPr>
        <w:rPr>
          <w:lang w:val="az-Latn-AZ"/>
        </w:rPr>
      </w:pPr>
    </w:p>
    <w:p w14:paraId="5141A445" w14:textId="77777777" w:rsidR="00B049B3" w:rsidRPr="00857D17" w:rsidRDefault="00B049B3" w:rsidP="00B049B3">
      <w:pPr>
        <w:rPr>
          <w:b/>
          <w:lang w:val="az-Latn-AZ"/>
        </w:rPr>
      </w:pPr>
      <w:r w:rsidRPr="00857D17">
        <w:rPr>
          <w:b/>
          <w:lang w:val="az-Latn-AZ"/>
        </w:rPr>
        <w:t>İstifadəsinə göstərişlər</w:t>
      </w:r>
    </w:p>
    <w:p w14:paraId="5E47D730" w14:textId="63C1D0C2" w:rsidR="00B049B3" w:rsidRPr="00D300DC" w:rsidRDefault="00977943" w:rsidP="00B049B3">
      <w:pPr>
        <w:rPr>
          <w:bCs/>
          <w:lang w:val="az-Latn-AZ"/>
        </w:rPr>
      </w:pPr>
      <w:r w:rsidRPr="00D300DC">
        <w:rPr>
          <w:bCs/>
          <w:lang w:val="az-Latn-AZ"/>
        </w:rPr>
        <w:t>Ağız və boğazı qarqara etmək</w:t>
      </w:r>
      <w:r w:rsidR="00D300DC" w:rsidRPr="00D300DC">
        <w:rPr>
          <w:bCs/>
          <w:lang w:val="az-Latn-AZ"/>
        </w:rPr>
        <w:t xml:space="preserve"> üçün, </w:t>
      </w:r>
      <w:r w:rsidRPr="00D300DC">
        <w:rPr>
          <w:bCs/>
          <w:lang w:val="az-Latn-AZ"/>
        </w:rPr>
        <w:t>irinli yaralar, yataq yaraları, xoralı zədələnmə, II və III dərəcəli yanıqlar, osteomielt</w:t>
      </w:r>
      <w:r w:rsidR="00D300DC" w:rsidRPr="00D300DC">
        <w:rPr>
          <w:bCs/>
          <w:lang w:val="az-Latn-AZ"/>
        </w:rPr>
        <w:t>, plevranın empieması, xroniki irinli otit, anaerob infeksiyalar zamanı istifadə edilir.</w:t>
      </w:r>
    </w:p>
    <w:p w14:paraId="05172A67" w14:textId="77777777" w:rsidR="00B049B3" w:rsidRPr="00857D17" w:rsidRDefault="00B049B3" w:rsidP="00B049B3">
      <w:pPr>
        <w:rPr>
          <w:lang w:val="az-Latn-AZ"/>
        </w:rPr>
      </w:pPr>
    </w:p>
    <w:p w14:paraId="64C25C5A" w14:textId="77777777" w:rsidR="00B049B3" w:rsidRPr="00857D17" w:rsidRDefault="00B049B3" w:rsidP="00B049B3">
      <w:pPr>
        <w:rPr>
          <w:b/>
          <w:lang w:val="az-Latn-AZ"/>
        </w:rPr>
      </w:pPr>
      <w:r w:rsidRPr="00857D17">
        <w:rPr>
          <w:b/>
          <w:lang w:val="az-Latn-AZ"/>
        </w:rPr>
        <w:t>Əks göstərişlər</w:t>
      </w:r>
    </w:p>
    <w:p w14:paraId="7A34045D" w14:textId="4594BCDF" w:rsidR="00B76E53" w:rsidRPr="00B76E53" w:rsidRDefault="00B76E53" w:rsidP="00B76E53">
      <w:pPr>
        <w:rPr>
          <w:bCs/>
          <w:lang w:val="az-Latn-AZ"/>
        </w:rPr>
      </w:pPr>
      <w:r w:rsidRPr="00B76E53">
        <w:rPr>
          <w:bCs/>
          <w:lang w:val="az-Latn-AZ"/>
        </w:rPr>
        <w:t>Preparatın istənilən komponentinə və digər nitrofuran törəmələrinə qarşı yüksək həssaslıq, allergik dermatoz.</w:t>
      </w:r>
    </w:p>
    <w:p w14:paraId="761E9545" w14:textId="77777777" w:rsidR="00B76E53" w:rsidRPr="00B76E53" w:rsidRDefault="00B76E53" w:rsidP="00B76E53">
      <w:pPr>
        <w:rPr>
          <w:b/>
          <w:lang w:val="az-Latn-AZ"/>
        </w:rPr>
      </w:pPr>
    </w:p>
    <w:p w14:paraId="198F64F6" w14:textId="77777777" w:rsidR="00B049B3" w:rsidRPr="00857D17" w:rsidRDefault="00B049B3" w:rsidP="00B049B3">
      <w:pPr>
        <w:rPr>
          <w:b/>
          <w:lang w:val="az-Latn-AZ"/>
        </w:rPr>
      </w:pPr>
      <w:r w:rsidRPr="00857D17">
        <w:rPr>
          <w:b/>
          <w:lang w:val="az-Latn-AZ"/>
        </w:rPr>
        <w:t>Xüsusi göstərişlər və ehtiyat tədbirləri</w:t>
      </w:r>
    </w:p>
    <w:p w14:paraId="2D20E897" w14:textId="08D5A808" w:rsidR="00B049B3" w:rsidRPr="00857D17" w:rsidRDefault="006E4B3A" w:rsidP="00B049B3">
      <w:pPr>
        <w:jc w:val="both"/>
        <w:rPr>
          <w:lang w:val="az-Latn-AZ"/>
        </w:rPr>
      </w:pPr>
      <w:r>
        <w:rPr>
          <w:lang w:val="az-Latn-AZ"/>
        </w:rPr>
        <w:t>Dərman vasitəsi, yalnız xaricə istifadə üçün nəzərdə tutulmuşdur.</w:t>
      </w:r>
    </w:p>
    <w:p w14:paraId="6287BDAC" w14:textId="77777777" w:rsidR="00B049B3" w:rsidRPr="00857D17" w:rsidRDefault="00B049B3" w:rsidP="00B049B3">
      <w:pPr>
        <w:rPr>
          <w:lang w:val="az-Latn-AZ"/>
        </w:rPr>
      </w:pPr>
    </w:p>
    <w:p w14:paraId="0C846101" w14:textId="77777777" w:rsidR="00B049B3" w:rsidRPr="00857D17" w:rsidRDefault="00B049B3" w:rsidP="00B049B3">
      <w:pPr>
        <w:rPr>
          <w:b/>
          <w:lang w:val="az-Latn-AZ"/>
        </w:rPr>
      </w:pPr>
      <w:r w:rsidRPr="00857D17">
        <w:rPr>
          <w:b/>
          <w:lang w:val="az-Latn-AZ"/>
        </w:rPr>
        <w:lastRenderedPageBreak/>
        <w:t xml:space="preserve">Digər dərman vasitələri ilə qarşılıqlı təsiri </w:t>
      </w:r>
    </w:p>
    <w:p w14:paraId="6FD4D84F" w14:textId="7F612DC4" w:rsidR="006E4B3A" w:rsidRDefault="006E4B3A" w:rsidP="00F116DF">
      <w:pPr>
        <w:rPr>
          <w:bCs/>
          <w:lang w:val="az-Latn-AZ"/>
        </w:rPr>
      </w:pPr>
      <w:r w:rsidRPr="006E4B3A">
        <w:rPr>
          <w:bCs/>
          <w:lang w:val="az-Latn-AZ"/>
        </w:rPr>
        <w:t>Öyrənilməmişdir.</w:t>
      </w:r>
    </w:p>
    <w:p w14:paraId="316F1940" w14:textId="77777777" w:rsidR="00B76E53" w:rsidRDefault="00B76E53" w:rsidP="00B049B3">
      <w:pPr>
        <w:rPr>
          <w:b/>
          <w:lang w:val="az-Latn-AZ"/>
        </w:rPr>
      </w:pPr>
    </w:p>
    <w:p w14:paraId="53A7824B" w14:textId="5D5C1A70" w:rsidR="00B049B3" w:rsidRPr="00857D17" w:rsidRDefault="00B049B3" w:rsidP="00B049B3">
      <w:pPr>
        <w:rPr>
          <w:b/>
          <w:lang w:val="az-Latn-AZ"/>
        </w:rPr>
      </w:pPr>
      <w:r w:rsidRPr="00857D17">
        <w:rPr>
          <w:b/>
          <w:lang w:val="az-Latn-AZ"/>
        </w:rPr>
        <w:t>Hamiləlik və laktasiya dövründə istifadəsi</w:t>
      </w:r>
    </w:p>
    <w:p w14:paraId="7132B525" w14:textId="1AF91FC0" w:rsidR="00B76E53" w:rsidRPr="00B76E53" w:rsidRDefault="00B76E53" w:rsidP="00B76E53">
      <w:pPr>
        <w:tabs>
          <w:tab w:val="left" w:pos="426"/>
        </w:tabs>
        <w:jc w:val="both"/>
        <w:rPr>
          <w:bCs/>
          <w:szCs w:val="22"/>
          <w:lang w:val="az-Latn-AZ" w:eastAsia="uk-UA"/>
        </w:rPr>
      </w:pPr>
      <w:r w:rsidRPr="00B76E53">
        <w:rPr>
          <w:bCs/>
          <w:szCs w:val="22"/>
          <w:lang w:val="az-Latn-AZ" w:eastAsia="uk-UA"/>
        </w:rPr>
        <w:t>Dərman vasitəsinin hamiləlik və ya laktasiya dövründə istifadə təcrübəsi yoxdur, bu səbəbə görə bu dövrlərdə istifadə etmək olmaz.</w:t>
      </w:r>
    </w:p>
    <w:p w14:paraId="5C3E6910" w14:textId="139A90A0" w:rsidR="00B049B3" w:rsidRDefault="00B049B3" w:rsidP="00B049B3">
      <w:pPr>
        <w:rPr>
          <w:b/>
          <w:lang w:val="uk-UA"/>
        </w:rPr>
      </w:pPr>
    </w:p>
    <w:p w14:paraId="2BAAFFB3" w14:textId="431FFBC5" w:rsidR="006E4B3A" w:rsidRDefault="006E4B3A" w:rsidP="00B049B3">
      <w:pPr>
        <w:rPr>
          <w:b/>
          <w:lang w:val="az-Latn-AZ"/>
        </w:rPr>
      </w:pPr>
      <w:r>
        <w:rPr>
          <w:b/>
          <w:lang w:val="az-Latn-AZ"/>
        </w:rPr>
        <w:t>Pediatriyada istifadəsi</w:t>
      </w:r>
    </w:p>
    <w:p w14:paraId="116A3F43" w14:textId="2DA9D186" w:rsidR="006E4B3A" w:rsidRPr="00F116DF" w:rsidRDefault="006E4B3A" w:rsidP="00B049B3">
      <w:pPr>
        <w:rPr>
          <w:bCs/>
          <w:lang w:val="az-Latn-AZ"/>
        </w:rPr>
      </w:pPr>
      <w:r w:rsidRPr="00F116DF">
        <w:rPr>
          <w:bCs/>
          <w:lang w:val="az-Latn-AZ"/>
        </w:rPr>
        <w:t xml:space="preserve">Dərman vasitəsinin uşaqlarda istifadə təcrübəsi </w:t>
      </w:r>
      <w:r w:rsidR="00F116DF" w:rsidRPr="00F116DF">
        <w:rPr>
          <w:bCs/>
          <w:lang w:val="az-Latn-AZ"/>
        </w:rPr>
        <w:t>yoxdur, bu səbəbə görə onu bu kateqoriyadan olan pasiyentlərdə istifadə etmək olmaz.</w:t>
      </w:r>
      <w:r w:rsidRPr="00F116DF">
        <w:rPr>
          <w:bCs/>
          <w:lang w:val="az-Latn-AZ"/>
        </w:rPr>
        <w:t xml:space="preserve"> </w:t>
      </w:r>
    </w:p>
    <w:p w14:paraId="607D7613" w14:textId="77777777" w:rsidR="006E4B3A" w:rsidRDefault="006E4B3A" w:rsidP="00B049B3">
      <w:pPr>
        <w:rPr>
          <w:b/>
          <w:lang w:val="az-Latn-AZ"/>
        </w:rPr>
      </w:pPr>
      <w:bookmarkStart w:id="2" w:name="_Hlk97027376"/>
    </w:p>
    <w:p w14:paraId="61516147" w14:textId="50EAF31D" w:rsidR="00B049B3" w:rsidRPr="00857D17" w:rsidRDefault="00B049B3" w:rsidP="00B049B3">
      <w:pPr>
        <w:rPr>
          <w:b/>
          <w:lang w:val="az-Latn-AZ"/>
        </w:rPr>
      </w:pPr>
      <w:r w:rsidRPr="00857D17">
        <w:rPr>
          <w:b/>
          <w:lang w:val="az-Latn-AZ"/>
        </w:rPr>
        <w:t>Nəqliyyat vasitəsini və digər potensial təhlükəli mexanizmləri idarəetmə qabiliyyətinə təsiri</w:t>
      </w:r>
    </w:p>
    <w:bookmarkEnd w:id="2"/>
    <w:p w14:paraId="08A191BE" w14:textId="5A2C7965" w:rsidR="00B049B3" w:rsidRDefault="00CC7CB8" w:rsidP="00B049B3">
      <w:pPr>
        <w:rPr>
          <w:lang w:val="az-Latn-AZ"/>
        </w:rPr>
      </w:pPr>
      <w:r>
        <w:rPr>
          <w:lang w:val="az-Latn-AZ"/>
        </w:rPr>
        <w:t>Öyrənilməmişdir.</w:t>
      </w:r>
    </w:p>
    <w:p w14:paraId="7739FE6A" w14:textId="77777777" w:rsidR="00CC7CB8" w:rsidRDefault="00CC7CB8" w:rsidP="00B049B3">
      <w:pPr>
        <w:rPr>
          <w:b/>
          <w:lang w:val="az-Latn-AZ"/>
        </w:rPr>
      </w:pPr>
    </w:p>
    <w:p w14:paraId="3960D06F" w14:textId="77777777" w:rsidR="00B049B3" w:rsidRPr="00857D17" w:rsidRDefault="00B049B3" w:rsidP="00B049B3">
      <w:pPr>
        <w:rPr>
          <w:b/>
          <w:lang w:val="az-Latn-AZ"/>
        </w:rPr>
      </w:pPr>
      <w:r w:rsidRPr="00857D17">
        <w:rPr>
          <w:b/>
          <w:lang w:val="az-Latn-AZ"/>
        </w:rPr>
        <w:t>İstifadə qaydası və dozası</w:t>
      </w:r>
    </w:p>
    <w:p w14:paraId="522904D2" w14:textId="33E74E1F" w:rsidR="00B049B3" w:rsidRPr="00E859CF" w:rsidRDefault="00E859CF" w:rsidP="00B049B3">
      <w:pPr>
        <w:rPr>
          <w:bCs/>
          <w:lang w:val="az-Latn-AZ"/>
        </w:rPr>
      </w:pPr>
      <w:r w:rsidRPr="00E859CF">
        <w:rPr>
          <w:bCs/>
          <w:lang w:val="az-Latn-AZ"/>
        </w:rPr>
        <w:t>Furasilin-Ternofarm dərman vasitəsi 0,02%-li (1:5000) sulu məhlul şəklində xaricə istifadə edilir. Sulu məhlul hazırlamaq üçün 1 saşe (0,94 q toz) 100 ml natrium xloridin izotinik məhlulunda və ya distillə olunmuş suda (daha tez həll olması üçün qaynaq sudan istifadə edilir) həll etmək lazımdır. Bundan sonra məhlul otaq temperaturuna qədər soyudulur.</w:t>
      </w:r>
    </w:p>
    <w:p w14:paraId="5EECAF98" w14:textId="5A3D0EDC" w:rsidR="00E05676" w:rsidRDefault="00E859CF" w:rsidP="00B049B3">
      <w:pPr>
        <w:rPr>
          <w:bCs/>
          <w:lang w:val="az-Latn-AZ"/>
        </w:rPr>
      </w:pPr>
      <w:r>
        <w:rPr>
          <w:bCs/>
          <w:lang w:val="az-Latn-AZ"/>
        </w:rPr>
        <w:t>Ağız və boğazı qarqara etmək üçün 1 saşe (0,94 q) 100 ml qaynaq suda həll edilir.</w:t>
      </w:r>
    </w:p>
    <w:p w14:paraId="736FE3CA" w14:textId="5E2B6776" w:rsidR="00E859CF" w:rsidRDefault="00E859CF" w:rsidP="00B049B3">
      <w:pPr>
        <w:rPr>
          <w:bCs/>
          <w:lang w:val="az-Latn-AZ"/>
        </w:rPr>
      </w:pPr>
      <w:r>
        <w:rPr>
          <w:bCs/>
          <w:lang w:val="az-Latn-AZ"/>
        </w:rPr>
        <w:t>Qarqara həkim tövsiyəsinə uyğun təkrar edilir. Müalicə kursu xəstəliyin formasından və təzahüründən, yanaşı terapiyanın xarakterindən, müalicədən əldə edilən effektdən əldə edilən  asılıdır və həkim tərəfindən fərdi müəyyən edilir.</w:t>
      </w:r>
    </w:p>
    <w:p w14:paraId="0E93C77A" w14:textId="15773568" w:rsidR="00E859CF" w:rsidRPr="00E859CF" w:rsidRDefault="00277DA8" w:rsidP="00B049B3">
      <w:pPr>
        <w:rPr>
          <w:bCs/>
          <w:lang w:val="az-Latn-AZ"/>
        </w:rPr>
      </w:pPr>
      <w:r>
        <w:rPr>
          <w:bCs/>
          <w:lang w:val="az-Latn-AZ"/>
        </w:rPr>
        <w:t xml:space="preserve">İrinli yaralar, yataq yarası, xoralı zədələnmə, II və III dərəcəli yanıq zamanı dəri köçürməsi və ikincili tikişə səthin qranulyasiyasına hazırlıq üçün Furasilin-Ternofarm preparatının sulu məhlulu ilə yaranı islatmaq və nəm sarğı qoymaq lazımdır. </w:t>
      </w:r>
    </w:p>
    <w:p w14:paraId="4D633A5D" w14:textId="77777777" w:rsidR="005D0F57" w:rsidRDefault="005D0F57" w:rsidP="00E05676">
      <w:pPr>
        <w:tabs>
          <w:tab w:val="left" w:pos="426"/>
        </w:tabs>
        <w:jc w:val="both"/>
        <w:rPr>
          <w:bCs/>
          <w:szCs w:val="22"/>
          <w:lang w:val="az-Latn-AZ" w:eastAsia="uk-UA"/>
        </w:rPr>
      </w:pPr>
      <w:r>
        <w:rPr>
          <w:bCs/>
          <w:szCs w:val="22"/>
          <w:lang w:val="az-Latn-AZ" w:eastAsia="uk-UA"/>
        </w:rPr>
        <w:t>Osteomielit zamanı əməliyyatdan sonra boşluğu Furasilin-Ternofarm preparatının sulu məhlulu ilə yumaq, bundan sonra nəm sarğı qoymaq lazımdır.</w:t>
      </w:r>
    </w:p>
    <w:p w14:paraId="3756A779" w14:textId="2A4CAEA0" w:rsidR="005D0F57" w:rsidRDefault="005D0F57" w:rsidP="00E05676">
      <w:pPr>
        <w:tabs>
          <w:tab w:val="left" w:pos="426"/>
        </w:tabs>
        <w:jc w:val="both"/>
        <w:rPr>
          <w:bCs/>
          <w:szCs w:val="22"/>
          <w:lang w:val="az-Latn-AZ" w:eastAsia="uk-UA"/>
        </w:rPr>
      </w:pPr>
      <w:r>
        <w:rPr>
          <w:bCs/>
          <w:szCs w:val="22"/>
          <w:lang w:val="az-Latn-AZ" w:eastAsia="uk-UA"/>
        </w:rPr>
        <w:t xml:space="preserve">Plevranın empieması zaman irini təmizləmək, </w:t>
      </w:r>
      <w:r w:rsidR="00782C08">
        <w:rPr>
          <w:bCs/>
          <w:szCs w:val="22"/>
          <w:lang w:val="az-Latn-AZ" w:eastAsia="uk-UA"/>
        </w:rPr>
        <w:t>plevral boşluğu ümumi qəbul olunmuş üsulla yumaq lazımdır. Sonra plevral boşluğa 20-100 ml dərman vasitəsinin sulu məhlulunu yeritmək lazımdır.</w:t>
      </w:r>
      <w:r>
        <w:rPr>
          <w:bCs/>
          <w:szCs w:val="22"/>
          <w:lang w:val="az-Latn-AZ" w:eastAsia="uk-UA"/>
        </w:rPr>
        <w:t xml:space="preserve"> </w:t>
      </w:r>
    </w:p>
    <w:p w14:paraId="1DF4C239" w14:textId="77777777" w:rsidR="00713D06" w:rsidRDefault="00713D06" w:rsidP="00E05676">
      <w:pPr>
        <w:tabs>
          <w:tab w:val="left" w:pos="426"/>
        </w:tabs>
        <w:jc w:val="both"/>
        <w:rPr>
          <w:bCs/>
          <w:szCs w:val="22"/>
          <w:lang w:val="az-Latn-AZ" w:eastAsia="uk-UA"/>
        </w:rPr>
      </w:pPr>
      <w:r>
        <w:rPr>
          <w:bCs/>
          <w:szCs w:val="22"/>
          <w:lang w:val="az-Latn-AZ" w:eastAsia="uk-UA"/>
        </w:rPr>
        <w:t>Anaerob infeksiya zamanı standart cərrahi müdaxilədən sonra yaranı, eləcə də Furasilin-Ternofarm dərman vasitəsilə işləmək lazımdır.</w:t>
      </w:r>
    </w:p>
    <w:p w14:paraId="6515C142" w14:textId="58FF0A56" w:rsidR="00E05676" w:rsidRPr="004176C1" w:rsidRDefault="004176C1" w:rsidP="004176C1">
      <w:pPr>
        <w:tabs>
          <w:tab w:val="left" w:pos="426"/>
        </w:tabs>
        <w:jc w:val="both"/>
        <w:rPr>
          <w:bCs/>
          <w:szCs w:val="22"/>
          <w:lang w:val="az-Latn-AZ" w:eastAsia="uk-UA"/>
        </w:rPr>
      </w:pPr>
      <w:r>
        <w:rPr>
          <w:bCs/>
          <w:szCs w:val="22"/>
          <w:lang w:val="az-Latn-AZ" w:eastAsia="uk-UA"/>
        </w:rPr>
        <w:t>Xroniki irinli otit zamanı Furasilin-Ternofarm preparatının sulu məhlulunu 8-10 damcı pambıq tampona və ya turundaya hopdurub, gündə 2 dəfə xarici qulaq keçəcəyinə yeritmək lazımdır. Məhlulu əvvəlcədən bədən temperaturuna qədər isitmək lazımdır.</w:t>
      </w:r>
    </w:p>
    <w:p w14:paraId="1AA0AA93" w14:textId="710C0FCD" w:rsidR="00E05676" w:rsidRPr="00334F55" w:rsidRDefault="00334F55" w:rsidP="00B049B3">
      <w:pPr>
        <w:rPr>
          <w:bCs/>
          <w:i/>
          <w:iCs/>
          <w:lang w:val="az-Latn-AZ"/>
        </w:rPr>
      </w:pPr>
      <w:r w:rsidRPr="00334F55">
        <w:rPr>
          <w:bCs/>
          <w:i/>
          <w:iCs/>
          <w:lang w:val="az-Latn-AZ"/>
        </w:rPr>
        <w:t>Uşaqlar</w:t>
      </w:r>
    </w:p>
    <w:p w14:paraId="76C7218E" w14:textId="2F46E1AD" w:rsidR="00334F55" w:rsidRPr="00334F55" w:rsidRDefault="00334F55" w:rsidP="00B049B3">
      <w:pPr>
        <w:rPr>
          <w:bCs/>
          <w:lang w:val="az-Latn-AZ"/>
        </w:rPr>
      </w:pPr>
      <w:r w:rsidRPr="00334F55">
        <w:rPr>
          <w:bCs/>
          <w:lang w:val="az-Latn-AZ"/>
        </w:rPr>
        <w:t>Uşaqlarda dərman vasitəsinin istifadə təcrübəsi yoxdur, bu səbəb görə bu kateqoriyadan olan pasiyentlərdə istifadə etmək olmaz.</w:t>
      </w:r>
    </w:p>
    <w:p w14:paraId="0AAAC59B" w14:textId="77777777" w:rsidR="00B049B3" w:rsidRPr="00857D17" w:rsidRDefault="00B049B3" w:rsidP="00B049B3">
      <w:pPr>
        <w:rPr>
          <w:lang w:val="az-Latn-AZ"/>
        </w:rPr>
      </w:pPr>
      <w:r w:rsidRPr="00857D17">
        <w:rPr>
          <w:lang w:val="az-Latn-AZ"/>
        </w:rPr>
        <w:t xml:space="preserve">  </w:t>
      </w:r>
    </w:p>
    <w:p w14:paraId="546B9291" w14:textId="77777777" w:rsidR="00B049B3" w:rsidRPr="00857D17" w:rsidRDefault="00B049B3" w:rsidP="00B049B3">
      <w:pPr>
        <w:rPr>
          <w:b/>
          <w:lang w:val="az-Latn-AZ"/>
        </w:rPr>
      </w:pPr>
      <w:r w:rsidRPr="00857D17">
        <w:rPr>
          <w:b/>
          <w:lang w:val="az-Latn-AZ"/>
        </w:rPr>
        <w:t>Əlavə təsirləri</w:t>
      </w:r>
    </w:p>
    <w:p w14:paraId="4C6DBDFA" w14:textId="778E0F06" w:rsidR="00CC7CB8" w:rsidRDefault="00CC7CB8" w:rsidP="00B049B3">
      <w:pPr>
        <w:jc w:val="both"/>
        <w:rPr>
          <w:lang w:val="az-Latn-AZ"/>
        </w:rPr>
      </w:pPr>
      <w:r>
        <w:rPr>
          <w:lang w:val="az-Latn-AZ"/>
        </w:rPr>
        <w:t xml:space="preserve">Furasilin-Ternofarm dərman vasitəsinin xaricə istifadəsi zamanı preparat bir qayda olaraq, pasiyent tərəfindən yaxşı keçirilir. Bəzən dermatit, boğazın qarqarası zamanı ağız boşluğunun selikli qişasının qıcıqlanması yarana bilər ki, bu da dərman vasitəsinin istifadəsinin müvəqqəti dayandırılmasını tələb edir.    </w:t>
      </w:r>
    </w:p>
    <w:p w14:paraId="11A407A0" w14:textId="29F33E34" w:rsidR="00E05676" w:rsidRDefault="00E05676" w:rsidP="00B049B3">
      <w:pPr>
        <w:jc w:val="both"/>
        <w:rPr>
          <w:lang w:val="az-Latn-AZ"/>
        </w:rPr>
      </w:pPr>
      <w:r>
        <w:rPr>
          <w:lang w:val="az-Latn-AZ"/>
        </w:rPr>
        <w:t>Dərman vasitəsinin istifadəsi zamanı ayrı-ayrı hallarda aşağıdakı hallar mümkündür:</w:t>
      </w:r>
    </w:p>
    <w:p w14:paraId="5CB33061" w14:textId="32841F63" w:rsidR="00CC7CB8" w:rsidRPr="00E05676" w:rsidRDefault="00E05676" w:rsidP="00E05676">
      <w:pPr>
        <w:jc w:val="both"/>
        <w:rPr>
          <w:lang w:val="az-Latn-AZ"/>
        </w:rPr>
      </w:pPr>
      <w:r>
        <w:rPr>
          <w:lang w:val="az-Latn-AZ"/>
        </w:rPr>
        <w:t>immun sistemdə baş verən pozuntular: qaşınma, hiperemiya, dəri səpgisi daxil olmaqla allergik reaksiyalar; çox nadir hallarda</w:t>
      </w:r>
      <w:r w:rsidR="00067A72" w:rsidRPr="00067A72">
        <w:rPr>
          <w:lang w:val="az-Latn-AZ"/>
        </w:rPr>
        <w:t xml:space="preserve"> </w:t>
      </w:r>
      <w:r w:rsidR="00067A72">
        <w:rPr>
          <w:lang w:val="az-Latn-AZ"/>
        </w:rPr>
        <w:t>–</w:t>
      </w:r>
      <w:r w:rsidR="00067A72" w:rsidRPr="00067A72">
        <w:rPr>
          <w:lang w:val="az-Latn-AZ"/>
        </w:rPr>
        <w:t xml:space="preserve"> </w:t>
      </w:r>
      <w:r>
        <w:rPr>
          <w:lang w:val="az-Latn-AZ"/>
        </w:rPr>
        <w:t>angionevrotik ödem.</w:t>
      </w:r>
    </w:p>
    <w:p w14:paraId="67513DE2" w14:textId="77777777" w:rsidR="00CC7CB8" w:rsidRPr="00857D17" w:rsidRDefault="00CC7CB8" w:rsidP="00B049B3">
      <w:pPr>
        <w:rPr>
          <w:lang w:val="az-Latn-AZ"/>
        </w:rPr>
      </w:pPr>
    </w:p>
    <w:p w14:paraId="49B1730E" w14:textId="77777777" w:rsidR="00B049B3" w:rsidRPr="00857D17" w:rsidRDefault="00B049B3" w:rsidP="00B049B3">
      <w:pPr>
        <w:rPr>
          <w:b/>
          <w:lang w:val="az-Latn-AZ"/>
        </w:rPr>
      </w:pPr>
      <w:r w:rsidRPr="00857D17">
        <w:rPr>
          <w:b/>
          <w:lang w:val="az-Latn-AZ"/>
        </w:rPr>
        <w:t>Doza həddinin aşılması</w:t>
      </w:r>
    </w:p>
    <w:p w14:paraId="3797C936" w14:textId="2384C39F" w:rsidR="00B049B3" w:rsidRPr="00E05676" w:rsidRDefault="00E05676" w:rsidP="00B049B3">
      <w:pPr>
        <w:rPr>
          <w:bCs/>
          <w:lang w:val="az-Latn-AZ"/>
        </w:rPr>
      </w:pPr>
      <w:r w:rsidRPr="00E05676">
        <w:rPr>
          <w:bCs/>
          <w:lang w:val="az-Latn-AZ"/>
        </w:rPr>
        <w:t>Dərman vasitəsinin yüksək dozasının istifadəsi zamanı əlavə təsirlərin güclənməsi mümkündür.</w:t>
      </w:r>
    </w:p>
    <w:p w14:paraId="550EF063" w14:textId="77777777" w:rsidR="00B049B3" w:rsidRPr="00857D17" w:rsidRDefault="00B049B3" w:rsidP="00B049B3">
      <w:pPr>
        <w:rPr>
          <w:lang w:val="az-Latn-AZ"/>
        </w:rPr>
      </w:pPr>
    </w:p>
    <w:p w14:paraId="3928E2A7" w14:textId="77777777" w:rsidR="00B049B3" w:rsidRPr="00857D17" w:rsidRDefault="00B049B3" w:rsidP="00B049B3">
      <w:pPr>
        <w:rPr>
          <w:b/>
          <w:lang w:val="az-Latn-AZ"/>
        </w:rPr>
      </w:pPr>
      <w:r w:rsidRPr="00857D17">
        <w:rPr>
          <w:b/>
          <w:lang w:val="az-Latn-AZ"/>
        </w:rPr>
        <w:t>Buraxılış forması</w:t>
      </w:r>
    </w:p>
    <w:p w14:paraId="708BEE97" w14:textId="1109C6D7" w:rsidR="00B049B3" w:rsidRPr="00C75132" w:rsidRDefault="00C75132" w:rsidP="00B049B3">
      <w:pPr>
        <w:rPr>
          <w:bCs/>
          <w:lang w:val="az-Latn-AZ"/>
        </w:rPr>
      </w:pPr>
      <w:r w:rsidRPr="00C75132">
        <w:rPr>
          <w:bCs/>
          <w:lang w:val="az-Latn-AZ"/>
        </w:rPr>
        <w:t>0,94 q toz saşedə. 30 saşe içlik vərəqə ilə birlikdə karton qutuya qablaşdırılır.</w:t>
      </w:r>
    </w:p>
    <w:p w14:paraId="434D1376" w14:textId="77777777" w:rsidR="00B049B3" w:rsidRPr="00857D17" w:rsidRDefault="00B049B3" w:rsidP="00B049B3">
      <w:pPr>
        <w:rPr>
          <w:lang w:val="az-Latn-AZ"/>
        </w:rPr>
      </w:pPr>
    </w:p>
    <w:p w14:paraId="7EF07266" w14:textId="77777777" w:rsidR="00B049B3" w:rsidRPr="00857D17" w:rsidRDefault="00B049B3" w:rsidP="00B049B3">
      <w:pPr>
        <w:rPr>
          <w:b/>
          <w:lang w:val="az-Latn-AZ"/>
        </w:rPr>
      </w:pPr>
      <w:r w:rsidRPr="00857D17">
        <w:rPr>
          <w:b/>
          <w:lang w:val="az-Latn-AZ"/>
        </w:rPr>
        <w:lastRenderedPageBreak/>
        <w:t>Saxlanma şəraiti</w:t>
      </w:r>
    </w:p>
    <w:p w14:paraId="6961BFC5" w14:textId="2807ADFF" w:rsidR="00B049B3" w:rsidRPr="001C1091" w:rsidRDefault="00B049B3" w:rsidP="00B049B3">
      <w:pPr>
        <w:pStyle w:val="a3"/>
        <w:rPr>
          <w:sz w:val="24"/>
          <w:szCs w:val="24"/>
          <w:lang w:val="az-Latn-AZ"/>
        </w:rPr>
      </w:pPr>
      <w:r>
        <w:rPr>
          <w:sz w:val="24"/>
          <w:szCs w:val="24"/>
          <w:lang w:val="az-Latn-AZ"/>
        </w:rPr>
        <w:t>25</w:t>
      </w:r>
      <w:r w:rsidRPr="001C1091">
        <w:rPr>
          <w:sz w:val="24"/>
          <w:szCs w:val="24"/>
          <w:lang w:val="az-Latn-AZ"/>
        </w:rPr>
        <w:t>º</w:t>
      </w:r>
      <w:r w:rsidRPr="008144C7">
        <w:rPr>
          <w:sz w:val="24"/>
          <w:szCs w:val="24"/>
          <w:lang w:val="az-Latn-AZ"/>
        </w:rPr>
        <w:t>С</w:t>
      </w:r>
      <w:r>
        <w:rPr>
          <w:sz w:val="24"/>
          <w:szCs w:val="24"/>
          <w:lang w:val="az-Latn-AZ"/>
        </w:rPr>
        <w:t xml:space="preserve"> </w:t>
      </w:r>
      <w:r w:rsidRPr="001C1091">
        <w:rPr>
          <w:sz w:val="24"/>
          <w:szCs w:val="24"/>
          <w:lang w:val="az-Latn-AZ"/>
        </w:rPr>
        <w:t>temperaturda</w:t>
      </w:r>
      <w:r>
        <w:rPr>
          <w:sz w:val="24"/>
          <w:szCs w:val="24"/>
          <w:lang w:val="az-Latn-AZ"/>
        </w:rPr>
        <w:t>n yüksək olmayan</w:t>
      </w:r>
      <w:r w:rsidRPr="001C1091">
        <w:rPr>
          <w:sz w:val="24"/>
          <w:szCs w:val="24"/>
          <w:lang w:val="az-Latn-AZ"/>
        </w:rPr>
        <w:t>,</w:t>
      </w:r>
      <w:r>
        <w:rPr>
          <w:sz w:val="24"/>
          <w:szCs w:val="24"/>
          <w:lang w:val="az-Latn-AZ"/>
        </w:rPr>
        <w:t xml:space="preserve"> </w:t>
      </w:r>
      <w:r w:rsidR="00C75132">
        <w:rPr>
          <w:sz w:val="24"/>
          <w:szCs w:val="24"/>
          <w:lang w:val="az-Latn-AZ"/>
        </w:rPr>
        <w:t xml:space="preserve">orijinal qutusunda  və  </w:t>
      </w:r>
      <w:r w:rsidRPr="001C1091">
        <w:rPr>
          <w:sz w:val="24"/>
          <w:szCs w:val="24"/>
          <w:lang w:val="az-Latn-AZ"/>
        </w:rPr>
        <w:t>uşaqların əli çatmayan yerdə saxlamaq lazımdır.</w:t>
      </w:r>
    </w:p>
    <w:p w14:paraId="6606C733" w14:textId="4FEE5A4F" w:rsidR="00B049B3" w:rsidRPr="00C75132" w:rsidRDefault="00C75132" w:rsidP="00B049B3">
      <w:pPr>
        <w:rPr>
          <w:i/>
          <w:iCs/>
          <w:lang w:val="az-Latn-AZ"/>
        </w:rPr>
      </w:pPr>
      <w:r w:rsidRPr="00C75132">
        <w:rPr>
          <w:i/>
          <w:iCs/>
          <w:lang w:val="az-Latn-AZ"/>
        </w:rPr>
        <w:t>Dərman vasitəsinin istifadəsi və tullantısı zamanı xüsusi ehtiyat tədbirləri (ehtiyac olduqda)</w:t>
      </w:r>
    </w:p>
    <w:p w14:paraId="060B5A26" w14:textId="3AA04938" w:rsidR="00C75132" w:rsidRDefault="00C75132" w:rsidP="00B049B3">
      <w:pPr>
        <w:rPr>
          <w:lang w:val="az-Latn-AZ"/>
        </w:rPr>
      </w:pPr>
      <w:r>
        <w:rPr>
          <w:lang w:val="az-Latn-AZ"/>
        </w:rPr>
        <w:t>Xüsusi göstəriş yoxdur.</w:t>
      </w:r>
    </w:p>
    <w:p w14:paraId="3225B71F" w14:textId="77777777" w:rsidR="00C75132" w:rsidRPr="00857D17" w:rsidRDefault="00C75132" w:rsidP="00B049B3">
      <w:pPr>
        <w:rPr>
          <w:lang w:val="az-Latn-AZ"/>
        </w:rPr>
      </w:pPr>
    </w:p>
    <w:p w14:paraId="2D14D92D" w14:textId="77777777" w:rsidR="00B049B3" w:rsidRPr="00857D17" w:rsidRDefault="00B049B3" w:rsidP="00B049B3">
      <w:pPr>
        <w:rPr>
          <w:b/>
          <w:lang w:val="az-Latn-AZ"/>
        </w:rPr>
      </w:pPr>
      <w:r w:rsidRPr="00857D17">
        <w:rPr>
          <w:b/>
          <w:lang w:val="az-Latn-AZ"/>
        </w:rPr>
        <w:t>Yararlılıq müddəti</w:t>
      </w:r>
    </w:p>
    <w:p w14:paraId="13DC7189" w14:textId="162DBCAF" w:rsidR="00B049B3" w:rsidRPr="00857D17" w:rsidRDefault="0001375D" w:rsidP="00B049B3">
      <w:pPr>
        <w:rPr>
          <w:lang w:val="az-Latn-AZ"/>
        </w:rPr>
      </w:pPr>
      <w:r>
        <w:rPr>
          <w:lang w:val="az-Latn-AZ"/>
        </w:rPr>
        <w:t>3</w:t>
      </w:r>
      <w:r w:rsidR="00B049B3">
        <w:rPr>
          <w:lang w:val="az-Latn-AZ"/>
        </w:rPr>
        <w:t xml:space="preserve"> il.</w:t>
      </w:r>
    </w:p>
    <w:p w14:paraId="0AFC549D" w14:textId="77777777" w:rsidR="00B049B3" w:rsidRPr="00857D17" w:rsidRDefault="00B049B3" w:rsidP="00B049B3">
      <w:pPr>
        <w:rPr>
          <w:lang w:val="az-Latn-AZ"/>
        </w:rPr>
      </w:pPr>
      <w:r w:rsidRPr="00857D17">
        <w:rPr>
          <w:lang w:val="az-Latn-AZ"/>
        </w:rPr>
        <w:t>Yararlılıq müddəti bitdikdən sonra istifadə etmək olmaz.</w:t>
      </w:r>
    </w:p>
    <w:p w14:paraId="0D46B539" w14:textId="77777777" w:rsidR="00B049B3" w:rsidRPr="00857D17" w:rsidRDefault="00B049B3" w:rsidP="00B049B3">
      <w:pPr>
        <w:rPr>
          <w:b/>
          <w:lang w:val="az-Latn-AZ"/>
        </w:rPr>
      </w:pPr>
    </w:p>
    <w:p w14:paraId="6CA3094C" w14:textId="77777777" w:rsidR="00B049B3" w:rsidRPr="00857D17" w:rsidRDefault="00B049B3" w:rsidP="00B049B3">
      <w:pPr>
        <w:rPr>
          <w:b/>
          <w:lang w:val="az-Latn-AZ"/>
        </w:rPr>
      </w:pPr>
      <w:r w:rsidRPr="00857D17">
        <w:rPr>
          <w:b/>
          <w:lang w:val="az-Latn-AZ"/>
        </w:rPr>
        <w:t>Aptekdən buraxılma şərti</w:t>
      </w:r>
    </w:p>
    <w:p w14:paraId="70A9BFFC" w14:textId="79F7AF63" w:rsidR="0001375D" w:rsidRPr="006B2ACD" w:rsidRDefault="00B049B3" w:rsidP="00B049B3">
      <w:pPr>
        <w:rPr>
          <w:lang w:val="az-Latn-AZ"/>
        </w:rPr>
      </w:pPr>
      <w:r w:rsidRPr="00857D17">
        <w:rPr>
          <w:lang w:val="az-Latn-AZ"/>
        </w:rPr>
        <w:t>Resept</w:t>
      </w:r>
      <w:r w:rsidR="00EE31BF">
        <w:rPr>
          <w:lang w:val="az-Latn-AZ"/>
        </w:rPr>
        <w:t xml:space="preserve">siz </w:t>
      </w:r>
      <w:r w:rsidRPr="00857D17">
        <w:rPr>
          <w:lang w:val="az-Latn-AZ"/>
        </w:rPr>
        <w:t>buraxılır</w:t>
      </w:r>
      <w:r>
        <w:rPr>
          <w:lang w:val="az-Latn-AZ"/>
        </w:rPr>
        <w:t>.</w:t>
      </w:r>
    </w:p>
    <w:p w14:paraId="5A2D6B04" w14:textId="77777777" w:rsidR="00247CE8" w:rsidRDefault="00247CE8" w:rsidP="00B049B3">
      <w:pPr>
        <w:pStyle w:val="a3"/>
        <w:rPr>
          <w:b/>
          <w:bCs/>
          <w:sz w:val="24"/>
          <w:szCs w:val="24"/>
          <w:lang w:val="az-Latn-AZ"/>
        </w:rPr>
      </w:pPr>
    </w:p>
    <w:p w14:paraId="5BBB5C9D" w14:textId="77777777" w:rsidR="00247CE8" w:rsidRDefault="00B049B3" w:rsidP="00247CE8">
      <w:pPr>
        <w:pStyle w:val="a3"/>
        <w:rPr>
          <w:b/>
          <w:sz w:val="24"/>
          <w:szCs w:val="24"/>
          <w:lang w:val="az-Latn-AZ"/>
        </w:rPr>
      </w:pPr>
      <w:r w:rsidRPr="00DE37D2">
        <w:rPr>
          <w:b/>
          <w:bCs/>
          <w:sz w:val="24"/>
          <w:szCs w:val="24"/>
          <w:lang w:val="az-Latn-AZ"/>
        </w:rPr>
        <w:t>İstehsalçı</w:t>
      </w:r>
      <w:r w:rsidR="00247CE8">
        <w:rPr>
          <w:b/>
          <w:bCs/>
          <w:sz w:val="24"/>
          <w:szCs w:val="24"/>
          <w:lang w:val="az-Latn-AZ"/>
        </w:rPr>
        <w:t>/</w:t>
      </w:r>
      <w:r w:rsidRPr="002D4DD9">
        <w:rPr>
          <w:b/>
          <w:sz w:val="24"/>
          <w:szCs w:val="24"/>
          <w:lang w:val="az-Latn-AZ"/>
        </w:rPr>
        <w:t>Qeydiyyat vəsiqəsinin sahibi</w:t>
      </w:r>
    </w:p>
    <w:p w14:paraId="773BA677" w14:textId="17908B06" w:rsidR="00742C91" w:rsidRPr="000253BF" w:rsidRDefault="00742C91" w:rsidP="00742C91">
      <w:pPr>
        <w:pStyle w:val="a3"/>
        <w:rPr>
          <w:rFonts w:eastAsia="Calibri"/>
          <w:sz w:val="24"/>
          <w:szCs w:val="24"/>
          <w:lang w:val="az-Latn-AZ" w:eastAsia="pl-PL"/>
        </w:rPr>
      </w:pPr>
      <w:r w:rsidRPr="000253BF">
        <w:rPr>
          <w:rFonts w:eastAsia="Calibri"/>
          <w:sz w:val="24"/>
          <w:szCs w:val="24"/>
          <w:lang w:val="az-Latn-AZ" w:eastAsia="pl-PL"/>
        </w:rPr>
        <w:t>Ternopharm LTD, Ukraine.</w:t>
      </w:r>
    </w:p>
    <w:p w14:paraId="69AEF00A" w14:textId="1F321835" w:rsidR="00742C91" w:rsidRPr="00742C91" w:rsidRDefault="00742C91" w:rsidP="00742C91">
      <w:pPr>
        <w:pStyle w:val="a3"/>
        <w:rPr>
          <w:rFonts w:eastAsia="Calibri"/>
          <w:sz w:val="24"/>
          <w:szCs w:val="24"/>
          <w:lang w:val="az-Latn-AZ" w:eastAsia="en-US"/>
        </w:rPr>
      </w:pPr>
      <w:r w:rsidRPr="00742C91">
        <w:rPr>
          <w:rFonts w:eastAsia="Calibri"/>
          <w:bCs/>
          <w:sz w:val="24"/>
          <w:szCs w:val="24"/>
          <w:lang w:val="az-Latn-AZ"/>
        </w:rPr>
        <w:t>Ukrayna, Ternopol ş., Fabriçnaya küç. 4</w:t>
      </w:r>
      <w:r w:rsidRPr="00742C91">
        <w:rPr>
          <w:rFonts w:eastAsia="Calibri"/>
          <w:sz w:val="24"/>
          <w:szCs w:val="24"/>
          <w:lang w:val="az-Latn-AZ" w:eastAsia="en-US"/>
        </w:rPr>
        <w:t xml:space="preserve"> / </w:t>
      </w:r>
      <w:r w:rsidRPr="00742C91">
        <w:rPr>
          <w:rFonts w:eastAsia="Calibri"/>
          <w:sz w:val="24"/>
          <w:szCs w:val="24"/>
          <w:lang w:val="en-US" w:eastAsia="en-US"/>
        </w:rPr>
        <w:t xml:space="preserve">4 </w:t>
      </w:r>
      <w:proofErr w:type="spellStart"/>
      <w:r w:rsidRPr="00742C91">
        <w:rPr>
          <w:rFonts w:eastAsia="Calibri"/>
          <w:sz w:val="24"/>
          <w:szCs w:val="24"/>
          <w:lang w:val="en-US" w:eastAsia="en-US"/>
        </w:rPr>
        <w:t>Fabrychna</w:t>
      </w:r>
      <w:proofErr w:type="spellEnd"/>
      <w:r w:rsidRPr="00742C91">
        <w:rPr>
          <w:rFonts w:eastAsia="Calibri"/>
          <w:sz w:val="24"/>
          <w:szCs w:val="24"/>
          <w:lang w:val="en-US" w:eastAsia="en-US"/>
        </w:rPr>
        <w:t xml:space="preserve"> Street, </w:t>
      </w:r>
      <w:proofErr w:type="spellStart"/>
      <w:r w:rsidRPr="00742C91">
        <w:rPr>
          <w:rFonts w:eastAsia="Calibri"/>
          <w:sz w:val="24"/>
          <w:szCs w:val="24"/>
          <w:lang w:val="en-US" w:eastAsia="en-US"/>
        </w:rPr>
        <w:t>Ternopil</w:t>
      </w:r>
      <w:proofErr w:type="spellEnd"/>
      <w:r w:rsidRPr="00742C91">
        <w:rPr>
          <w:rFonts w:eastAsia="Calibri"/>
          <w:sz w:val="24"/>
          <w:szCs w:val="24"/>
          <w:lang w:val="en-US" w:eastAsia="en-US"/>
        </w:rPr>
        <w:t>, Ukraine.</w:t>
      </w:r>
    </w:p>
    <w:p w14:paraId="5960F122" w14:textId="5B5F14D4" w:rsidR="00247CE8" w:rsidRPr="006B2ACD" w:rsidRDefault="00247CE8" w:rsidP="00247CE8">
      <w:pPr>
        <w:pStyle w:val="a3"/>
        <w:rPr>
          <w:sz w:val="24"/>
          <w:szCs w:val="24"/>
          <w:lang w:val="az-Latn-AZ"/>
        </w:rPr>
      </w:pPr>
      <w:r w:rsidRPr="006B2ACD">
        <w:rPr>
          <w:sz w:val="24"/>
          <w:szCs w:val="24"/>
          <w:lang w:val="az-Latn-AZ"/>
        </w:rPr>
        <w:t>Tel.:/Faks: +38 (0352) 521-444.</w:t>
      </w:r>
    </w:p>
    <w:p w14:paraId="3E53C2FC" w14:textId="0359DDF7" w:rsidR="00247CE8" w:rsidRPr="006B2ACD" w:rsidRDefault="00247CE8" w:rsidP="00247CE8">
      <w:pPr>
        <w:pStyle w:val="a3"/>
        <w:rPr>
          <w:sz w:val="24"/>
          <w:szCs w:val="24"/>
          <w:lang w:val="en-US"/>
        </w:rPr>
      </w:pPr>
      <w:r w:rsidRPr="006B2ACD">
        <w:rPr>
          <w:sz w:val="24"/>
          <w:szCs w:val="24"/>
          <w:lang w:val="en-US"/>
        </w:rPr>
        <w:t>www.</w:t>
      </w:r>
      <w:r w:rsidR="006B2ACD" w:rsidRPr="006B2ACD">
        <w:rPr>
          <w:sz w:val="24"/>
          <w:szCs w:val="24"/>
          <w:lang w:val="en-US"/>
        </w:rPr>
        <w:t>ternopharm.com.ua</w:t>
      </w:r>
    </w:p>
    <w:p w14:paraId="22D168C5" w14:textId="785A425F" w:rsidR="002D4DD9" w:rsidRPr="00247CE8" w:rsidRDefault="002D4DD9" w:rsidP="00B049B3">
      <w:pPr>
        <w:pStyle w:val="a3"/>
        <w:rPr>
          <w:b/>
          <w:bCs/>
          <w:sz w:val="24"/>
          <w:szCs w:val="24"/>
          <w:lang w:val="az-Latn-AZ"/>
        </w:rPr>
      </w:pPr>
    </w:p>
    <w:p w14:paraId="051D0BC9" w14:textId="77777777" w:rsidR="00DE37D2" w:rsidRPr="002D4DD9" w:rsidRDefault="00DE37D2" w:rsidP="00DE37D2">
      <w:pPr>
        <w:ind w:left="-567" w:right="-1"/>
        <w:jc w:val="both"/>
        <w:rPr>
          <w:rFonts w:ascii="Arial" w:hAnsi="Arial" w:cs="Arial"/>
          <w:shd w:val="clear" w:color="auto" w:fill="FFFFFF"/>
          <w:lang w:val="az-Latn-AZ"/>
        </w:rPr>
      </w:pPr>
    </w:p>
    <w:p w14:paraId="31D0829E" w14:textId="77777777" w:rsidR="00F90508" w:rsidRPr="00DE37D2" w:rsidRDefault="00F90508" w:rsidP="00F90508">
      <w:pPr>
        <w:jc w:val="both"/>
        <w:rPr>
          <w:rFonts w:ascii="Arial" w:hAnsi="Arial" w:cs="Arial"/>
          <w:lang w:val="az-Latn-AZ"/>
        </w:rPr>
      </w:pPr>
    </w:p>
    <w:p w14:paraId="3B1CDC85" w14:textId="77777777" w:rsidR="00D7452E" w:rsidRPr="003C21D9" w:rsidRDefault="00D7452E" w:rsidP="00FD42A4">
      <w:pPr>
        <w:pStyle w:val="a3"/>
        <w:rPr>
          <w:sz w:val="24"/>
          <w:szCs w:val="24"/>
          <w:lang w:val="az-Latn-AZ"/>
        </w:rPr>
      </w:pPr>
    </w:p>
    <w:sectPr w:rsidR="00D7452E" w:rsidRPr="003C21D9" w:rsidSect="00C14250">
      <w:pgSz w:w="11906" w:h="16838"/>
      <w:pgMar w:top="709"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F7"/>
    <w:rsid w:val="0001375D"/>
    <w:rsid w:val="000253BF"/>
    <w:rsid w:val="00067A72"/>
    <w:rsid w:val="00072D12"/>
    <w:rsid w:val="000F5B2F"/>
    <w:rsid w:val="001161CF"/>
    <w:rsid w:val="00131883"/>
    <w:rsid w:val="001430BA"/>
    <w:rsid w:val="00144807"/>
    <w:rsid w:val="00161E5C"/>
    <w:rsid w:val="001A0F86"/>
    <w:rsid w:val="00221807"/>
    <w:rsid w:val="00247CE8"/>
    <w:rsid w:val="00277DA8"/>
    <w:rsid w:val="002D4DD9"/>
    <w:rsid w:val="00334F55"/>
    <w:rsid w:val="003B042D"/>
    <w:rsid w:val="003B5927"/>
    <w:rsid w:val="003C21D9"/>
    <w:rsid w:val="003F2751"/>
    <w:rsid w:val="004101C5"/>
    <w:rsid w:val="004176C1"/>
    <w:rsid w:val="00482F5F"/>
    <w:rsid w:val="004A60FE"/>
    <w:rsid w:val="005173CE"/>
    <w:rsid w:val="005D0F57"/>
    <w:rsid w:val="005F3497"/>
    <w:rsid w:val="00671979"/>
    <w:rsid w:val="006B2ACD"/>
    <w:rsid w:val="006E4B3A"/>
    <w:rsid w:val="006E6044"/>
    <w:rsid w:val="00713D06"/>
    <w:rsid w:val="00742C91"/>
    <w:rsid w:val="00744F71"/>
    <w:rsid w:val="007647FB"/>
    <w:rsid w:val="00782C08"/>
    <w:rsid w:val="00797423"/>
    <w:rsid w:val="00813BC6"/>
    <w:rsid w:val="00835FCE"/>
    <w:rsid w:val="00883B12"/>
    <w:rsid w:val="0095367B"/>
    <w:rsid w:val="00963795"/>
    <w:rsid w:val="009710BB"/>
    <w:rsid w:val="00977943"/>
    <w:rsid w:val="00982699"/>
    <w:rsid w:val="009F3B38"/>
    <w:rsid w:val="00A70D79"/>
    <w:rsid w:val="00AB6BAB"/>
    <w:rsid w:val="00AB76F7"/>
    <w:rsid w:val="00B049B3"/>
    <w:rsid w:val="00B35B63"/>
    <w:rsid w:val="00B76E53"/>
    <w:rsid w:val="00BA5FA1"/>
    <w:rsid w:val="00C14250"/>
    <w:rsid w:val="00C333CA"/>
    <w:rsid w:val="00C75132"/>
    <w:rsid w:val="00CC7CB8"/>
    <w:rsid w:val="00CC7D22"/>
    <w:rsid w:val="00D300DC"/>
    <w:rsid w:val="00D7452E"/>
    <w:rsid w:val="00DC09AB"/>
    <w:rsid w:val="00DE37D2"/>
    <w:rsid w:val="00E05676"/>
    <w:rsid w:val="00E20BAC"/>
    <w:rsid w:val="00E631D7"/>
    <w:rsid w:val="00E859CF"/>
    <w:rsid w:val="00ED0D85"/>
    <w:rsid w:val="00EE31BF"/>
    <w:rsid w:val="00F116DF"/>
    <w:rsid w:val="00F2152F"/>
    <w:rsid w:val="00F305ED"/>
    <w:rsid w:val="00F631E3"/>
    <w:rsid w:val="00F65D13"/>
    <w:rsid w:val="00F90508"/>
    <w:rsid w:val="00FD42A4"/>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CC85"/>
  <w15:chartTrackingRefBased/>
  <w15:docId w15:val="{3DE7728E-EF97-4455-AAFF-0A81616C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9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927"/>
    <w:pPr>
      <w:spacing w:after="0" w:line="240" w:lineRule="auto"/>
    </w:pPr>
    <w:rPr>
      <w:rFonts w:ascii="Times New Roman" w:eastAsia="Times New Roman" w:hAnsi="Times New Roman" w:cs="Times New Roman"/>
      <w:sz w:val="20"/>
      <w:szCs w:val="20"/>
      <w:lang w:eastAsia="ru-RU"/>
    </w:rPr>
  </w:style>
  <w:style w:type="character" w:customStyle="1" w:styleId="hps">
    <w:name w:val="hps"/>
    <w:rsid w:val="00DE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36323">
      <w:bodyDiv w:val="1"/>
      <w:marLeft w:val="0"/>
      <w:marRight w:val="0"/>
      <w:marTop w:val="0"/>
      <w:marBottom w:val="0"/>
      <w:divBdr>
        <w:top w:val="none" w:sz="0" w:space="0" w:color="auto"/>
        <w:left w:val="none" w:sz="0" w:space="0" w:color="auto"/>
        <w:bottom w:val="none" w:sz="0" w:space="0" w:color="auto"/>
        <w:right w:val="none" w:sz="0" w:space="0" w:color="auto"/>
      </w:divBdr>
    </w:div>
    <w:div w:id="20437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3948</Words>
  <Characters>2251</Characters>
  <Application>Microsoft Office Word</Application>
  <DocSecurity>4</DocSecurity>
  <Lines>18</Lines>
  <Paragraphs>12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Марта Яремська</cp:lastModifiedBy>
  <cp:revision>2</cp:revision>
  <cp:lastPrinted>2022-10-14T06:23:00Z</cp:lastPrinted>
  <dcterms:created xsi:type="dcterms:W3CDTF">2024-09-24T11:53:00Z</dcterms:created>
  <dcterms:modified xsi:type="dcterms:W3CDTF">2024-09-24T11:53:00Z</dcterms:modified>
</cp:coreProperties>
</file>